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60" w:rsidRDefault="00F1007C">
      <w:r>
        <w:rPr>
          <w:noProof/>
          <w:lang w:eastAsia="ru-RU"/>
        </w:rPr>
        <w:drawing>
          <wp:inline distT="0" distB="0" distL="0" distR="0" wp14:anchorId="19746BBD" wp14:editId="2255EAE8">
            <wp:extent cx="9251950" cy="6730938"/>
            <wp:effectExtent l="0" t="0" r="6350" b="0"/>
            <wp:docPr id="1" name="Рисунок 1" descr="C:\Users\Катя\Desktop\муници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муницип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801011О.99.0.БВ24ДУ82000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детей-инвалидов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1 года</w:t>
            </w:r>
          </w:p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 до 3 лет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Доля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обучающихся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, освоивших основную общеобразовательную программу дошкольного образования 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жалоб родителей обучающихся, осваивающих программу дошкольного образования, на реализацию образовательного процесса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801011О.99.0.БВ24ДУ82000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детей-инвалидов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1 года</w:t>
            </w:r>
          </w:p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 до 3 лет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54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4111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БВ24</w:t>
            </w: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801011О.99.0.БВ24ДХ02000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детей-инвалидов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от 3 лет </w:t>
            </w:r>
          </w:p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до 8 лет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Доля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обучающихся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, освоивших основную общеобразовательную программу дошкольного образования 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жалоб родителей обучающихся, осваивающих программу дошкольного образования, на реализацию образовательного процесса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801011О.99.0.БВ24ДХ02000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, за исключением детей-инвалидов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от 3 лет </w:t>
            </w:r>
          </w:p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до 8 лет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226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226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226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4111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БВ24</w:t>
            </w: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14"/>
        <w:gridCol w:w="1418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1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1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121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801011О.99.0.БВ24АВ42000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21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обучающиеся с ограниченными возможнос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lastRenderedPageBreak/>
              <w:t>тями здоровья (ОВЗ)</w:t>
            </w:r>
          </w:p>
        </w:tc>
        <w:tc>
          <w:tcPr>
            <w:tcW w:w="141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3 лет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 до 8 лет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Доля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обучающихся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, освоивших основную общеобразовательную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lastRenderedPageBreak/>
              <w:t xml:space="preserve">программу дошкольного образования 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жалоб родителей обучающихся, осваивающих программу дошкольного образования, на реализацию образовательного процесса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801011О.99.0.БВ24АВ42000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3 до 8 лет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4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4111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БВ24</w:t>
            </w: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14"/>
        <w:gridCol w:w="1418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1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1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121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801011О.99.0.БВ24АЖ02000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21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41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5 лет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Доля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обучающихся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, освоивших основную общеобразовательную программу дошкольного образования  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жалоб родителей обучающихся, осваивающих программу дошкольного образования, на реализацию образовательного процесса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</w:tr>
    </w:tbl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801011О.99.0.БВ24АЖ02000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5 лет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5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4111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Присмотр и уход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БВ19</w:t>
            </w: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853211О.99.0.БВ19АА50000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за исключение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 льготных категорий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lastRenderedPageBreak/>
              <w:t>1 до 3 лет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Отсутствие обоснованных претензий потребителей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lastRenderedPageBreak/>
              <w:t>к качеству предоставляемой услуги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rPr>
          <w:trHeight w:val="221"/>
        </w:trPr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853211О.99.0.БВ19АА50000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за исключением льготных категорий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1 до3 лет </w:t>
            </w:r>
          </w:p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54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6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4111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Присмотр и уход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БВ19</w:t>
            </w: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853211О.99.0.БВ19АА56000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007C">
              <w:rPr>
                <w:rFonts w:ascii="Times New Roman" w:hAnsi="Times New Roman" w:cs="Times New Roman"/>
              </w:rPr>
              <w:t xml:space="preserve">физические лица за исключением льготных </w:t>
            </w:r>
            <w:r w:rsidRPr="00F1007C">
              <w:rPr>
                <w:rFonts w:ascii="Times New Roman" w:hAnsi="Times New Roman" w:cs="Times New Roman"/>
              </w:rPr>
              <w:lastRenderedPageBreak/>
              <w:t>категорий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3 лет до 8 лет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Отсутствие обоснованных претензий потребителей к качеству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lastRenderedPageBreak/>
              <w:t>предоставляемой услуги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853211О.99.0.БВ19АА56000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за исключением льготных категорий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3 лет до 8 лет</w:t>
            </w:r>
          </w:p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228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228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228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Раздел 7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4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Присмотр и уход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БВ19</w:t>
            </w: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853211О.99.0.БВ19АА98000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 xml:space="preserve">дети-сироты и дети, оставшиеся без попечения 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3 лет до 8 лет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потребителей к качеству предоставляемой услуги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2020_год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853211О.99.0.БВ19АА98000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hAnsi="Times New Roman" w:cs="Times New Roman"/>
              </w:rPr>
              <w:t>дети-сироты и дети, оставшиеся без попечения родителей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3 лет до 8 лет</w:t>
            </w:r>
          </w:p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8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4111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Присмотр и уход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БВ19</w:t>
            </w: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853211О.99.0.БВ19АБ40000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дети с туберкулезной интоксикацией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3 лет до 8 лет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потребителей к качеству предоставляемой услуги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содержание 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2020_год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</w:rPr>
              <w:t>853211О.99.0.БВ19АБ40000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hAnsi="Times New Roman" w:cs="Times New Roman"/>
              </w:rPr>
              <w:t>дети с туберкулезной интоксикацией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3 лет до 8 лет</w:t>
            </w:r>
          </w:p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007C" w:rsidRPr="00F1007C" w:rsidRDefault="00F1007C" w:rsidP="00F10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9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4111"/>
        <w:gridCol w:w="2551"/>
        <w:gridCol w:w="1418"/>
      </w:tblGrid>
      <w:tr w:rsidR="00F1007C" w:rsidRPr="00F1007C" w:rsidTr="00F1007C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муниципальной услуги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F1007C">
              <w:rPr>
                <w:rFonts w:ascii="Times New Roman" w:hAnsi="Times New Roman" w:cs="Times New Roman"/>
                <w:sz w:val="28"/>
                <w:szCs w:val="28"/>
              </w:rPr>
              <w:t>Присмотр и уход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«Код муниципальной услуги (работы)»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БВ19</w:t>
            </w:r>
          </w:p>
        </w:tc>
      </w:tr>
      <w:tr w:rsidR="00F1007C" w:rsidRPr="00F1007C" w:rsidTr="00F1007C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Категории потребителей муниципальной  услуги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07C" w:rsidRPr="00F1007C" w:rsidTr="00F1007C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Показатели, характеризующие качество муниципальной услуги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F10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F1007C" w:rsidRPr="00F1007C" w:rsidTr="00F1007C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Показатель качества 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Муниципальной 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Значение показателя качества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муниципальной  услуги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2019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2020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1162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12</w:t>
            </w:r>
          </w:p>
        </w:tc>
      </w:tr>
      <w:tr w:rsidR="00F1007C" w:rsidRPr="00F1007C" w:rsidTr="00F1007C">
        <w:tc>
          <w:tcPr>
            <w:tcW w:w="1162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F1007C">
              <w:rPr>
                <w:rFonts w:ascii="Times New Roman" w:hAnsi="Times New Roman" w:cs="Times New Roman"/>
              </w:rPr>
              <w:t>853211О.99.0.БВ19АА14000</w:t>
            </w:r>
          </w:p>
        </w:tc>
        <w:tc>
          <w:tcPr>
            <w:tcW w:w="1310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дети - инвалиды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3 лет до 8 лет</w:t>
            </w:r>
          </w:p>
        </w:tc>
        <w:tc>
          <w:tcPr>
            <w:tcW w:w="135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38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потребителей к качеству предоставляемой услуги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0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Показатели, характеризующие объем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1007C" w:rsidRPr="00F1007C" w:rsidTr="00F1007C">
        <w:tc>
          <w:tcPr>
            <w:tcW w:w="993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Уникальный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 xml:space="preserve">Показатель, характеризующий содержание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муниципальной 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 xml:space="preserve">Показатель, характеризующий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Показатель объема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Значение показателя объема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муниципальной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 xml:space="preserve">Среднегодовой размер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lastRenderedPageBreak/>
              <w:t>платы (цена, тариф)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____________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 xml:space="preserve">единица измерения </w:t>
            </w: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 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2020_год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2018год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2019год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2020год</w:t>
            </w:r>
          </w:p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ru-RU"/>
              </w:rPr>
              <w:t>(2-й год планового периода)</w:t>
            </w:r>
          </w:p>
        </w:tc>
      </w:tr>
      <w:tr w:rsidR="00F1007C" w:rsidRPr="00F1007C" w:rsidTr="00F1007C">
        <w:tc>
          <w:tcPr>
            <w:tcW w:w="993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15</w:t>
            </w:r>
          </w:p>
        </w:tc>
      </w:tr>
      <w:tr w:rsidR="00F1007C" w:rsidRPr="00F1007C" w:rsidTr="00F1007C">
        <w:tc>
          <w:tcPr>
            <w:tcW w:w="993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007C">
              <w:rPr>
                <w:rFonts w:ascii="Times New Roman" w:hAnsi="Times New Roman" w:cs="Times New Roman"/>
              </w:rPr>
              <w:t>853211О.99.0.БВ19АА14000</w:t>
            </w:r>
          </w:p>
        </w:tc>
        <w:tc>
          <w:tcPr>
            <w:tcW w:w="113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1007C">
              <w:rPr>
                <w:rFonts w:ascii="Times New Roman" w:hAnsi="Times New Roman" w:cs="Times New Roman"/>
              </w:rPr>
              <w:t xml:space="preserve">Дети </w:t>
            </w:r>
            <w:proofErr w:type="gramStart"/>
            <w:r w:rsidRPr="00F1007C">
              <w:rPr>
                <w:rFonts w:ascii="Times New Roman" w:hAnsi="Times New Roman" w:cs="Times New Roman"/>
              </w:rPr>
              <w:t>-и</w:t>
            </w:r>
            <w:proofErr w:type="gramEnd"/>
            <w:r w:rsidRPr="00F1007C">
              <w:rPr>
                <w:rFonts w:ascii="Times New Roman" w:hAnsi="Times New Roman" w:cs="Times New Roman"/>
              </w:rPr>
              <w:t>нвалиды</w:t>
            </w: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От 3 лет до 8 лет</w:t>
            </w:r>
          </w:p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007C"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Количество </w:t>
            </w:r>
            <w:proofErr w:type="gramStart"/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>4. Нормативные правовые акты, устанавливающие размер платы (цену, тариф) либо порядок его (ее) установления:</w:t>
      </w:r>
    </w:p>
    <w:tbl>
      <w:tblPr>
        <w:tblW w:w="14745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4"/>
        <w:gridCol w:w="2348"/>
        <w:gridCol w:w="1480"/>
        <w:gridCol w:w="1575"/>
        <w:gridCol w:w="7498"/>
      </w:tblGrid>
      <w:tr w:rsidR="00F1007C" w:rsidRPr="00F1007C" w:rsidTr="00F1007C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F1007C" w:rsidRPr="00F1007C" w:rsidTr="00F1007C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F1007C" w:rsidRPr="00F1007C" w:rsidTr="00F1007C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5</w:t>
            </w:r>
          </w:p>
        </w:tc>
      </w:tr>
      <w:tr w:rsidR="00F1007C" w:rsidRPr="00F1007C" w:rsidTr="00F1007C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Правительство Красноярского края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31.05.2016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268-п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Об установлении максимального размера платы, взимаемой с родителей (законных представителей)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образования, находящихся на территории Красноярского края</w:t>
            </w:r>
          </w:p>
        </w:tc>
      </w:tr>
      <w:tr w:rsidR="00F1007C" w:rsidRPr="00F1007C" w:rsidTr="00F1007C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Администрация </w:t>
            </w:r>
          </w:p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города Боготола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30.12.2014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</w:t>
            </w:r>
            <w:r w:rsidRPr="00F1007C">
              <w:rPr>
                <w:rFonts w:ascii="Times New Roman" w:eastAsia="Times New Roman" w:hAnsi="Times New Roman" w:cs="Times New Roman"/>
                <w:lang w:val="en-US"/>
              </w:rPr>
              <w:t>2156-п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</w:t>
            </w:r>
            <w:r w:rsidRPr="00F1007C">
              <w:rPr>
                <w:rFonts w:ascii="Times New Roman" w:eastAsia="Times New Roman" w:hAnsi="Times New Roman" w:cs="Times New Roman"/>
              </w:rPr>
              <w:t>Об утверждении Порядка взимания родительской платы за присмотр и уход за детьми в образовательных учреждениях города Боготола, реализующих основную общеобразовательную программу дошкольного образования</w:t>
            </w:r>
          </w:p>
        </w:tc>
      </w:tr>
      <w:tr w:rsidR="00F1007C" w:rsidRPr="00F1007C" w:rsidTr="00F1007C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Администрация</w:t>
            </w:r>
          </w:p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города Боготола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</w:t>
            </w:r>
            <w:r w:rsidRPr="00F1007C">
              <w:rPr>
                <w:rFonts w:ascii="Times New Roman" w:eastAsia="Times New Roman" w:hAnsi="Times New Roman" w:cs="Times New Roman"/>
                <w:lang w:val="en-US"/>
              </w:rPr>
              <w:t>17.10.2016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1070-п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1007C" w:rsidRPr="00F1007C" w:rsidRDefault="00F1007C" w:rsidP="00F1007C">
            <w:pPr>
              <w:spacing w:after="0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 </w:t>
            </w:r>
            <w:r w:rsidRPr="00F1007C">
              <w:rPr>
                <w:rFonts w:ascii="Times New Roman" w:eastAsia="Times New Roman" w:hAnsi="Times New Roman" w:cs="Times New Roman"/>
              </w:rPr>
              <w:t>О размере родительской платы за присмотр и уход за детьми в муниципальных образовательных учреждениях города Боготола, реализующих основную общеобразовательную программу дошкольного образования</w:t>
            </w:r>
          </w:p>
        </w:tc>
      </w:tr>
    </w:tbl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>5. Порядок оказания муниципальной  услуги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5.1. Нормативные правовые акты, регулирующие порядок оказания муниципальной услуги:     </w:t>
      </w:r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F1007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Федеральный закон от 06.10.2003 № 131-ФЗ «Об общих принципах организации местного самоуправления в Российской Федерации» </w:t>
        </w:r>
      </w:hyperlink>
    </w:p>
    <w:p w:rsidR="00F1007C" w:rsidRPr="00F1007C" w:rsidRDefault="0003386D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0" w:history="1">
        <w:r w:rsidR="00F1007C"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Федеральный закон от 27.07.2010 № 210-ФЗ «Об организации предоставления государственных и муниципальных услуг» </w:t>
        </w:r>
      </w:hyperlink>
    </w:p>
    <w:p w:rsidR="00F1007C" w:rsidRPr="00F1007C" w:rsidRDefault="0003386D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1" w:history="1">
        <w:r w:rsidR="00F1007C"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Федеральный закон от 29.12.2012 № 273-ФЗ «Об образовании в Российской Федерации»  </w:t>
        </w:r>
      </w:hyperlink>
    </w:p>
    <w:p w:rsidR="00F1007C" w:rsidRPr="00F1007C" w:rsidRDefault="0003386D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2" w:history="1">
        <w:r w:rsidR="00F1007C"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Постановление Правительства РФ от 15.08.2013 № 706 «Об утверждении Правил оказания платных образовательных услуг»  </w:t>
        </w:r>
      </w:hyperlink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Приказ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</w:t>
      </w:r>
    </w:p>
    <w:p w:rsidR="00F1007C" w:rsidRPr="00F1007C" w:rsidRDefault="0003386D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3" w:history="1">
        <w:r w:rsidR="00F1007C"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Приказ Министерства образования и науки РФ от 08.04.2014 № 293 «Об утверждении Порядка приема на </w:t>
        </w:r>
        <w:proofErr w:type="gramStart"/>
        <w:r w:rsidR="00F1007C"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обучение по</w:t>
        </w:r>
        <w:proofErr w:type="gramEnd"/>
        <w:r w:rsidR="00F1007C"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образовательным программам дошкольного образования»        </w:t>
        </w:r>
      </w:hyperlink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 Красноярского края от 26.06.2014 № 6-2519 «Об образовании в Красноярском крае»</w:t>
      </w:r>
    </w:p>
    <w:p w:rsidR="00F1007C" w:rsidRPr="00F1007C" w:rsidRDefault="0003386D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4" w:history="1">
        <w:r w:rsidR="00F1007C" w:rsidRPr="00F1007C">
          <w:rPr>
            <w:rFonts w:ascii="Times New Roman" w:eastAsiaTheme="minorEastAsia" w:hAnsi="Times New Roman" w:cs="Times New Roman"/>
            <w:sz w:val="26"/>
            <w:szCs w:val="26"/>
            <w:lang w:eastAsia="ru-RU"/>
          </w:rPr>
          <w:t xml:space="preserve">Постановление Правительства Красноярского края от 31.05.2016 № 268-п «Об установлении максимального размера платы, взимаемой с родителей (законных представителей)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образования, находящихся на территории Красноярского края»   </w:t>
        </w:r>
      </w:hyperlink>
    </w:p>
    <w:p w:rsidR="00F1007C" w:rsidRPr="00F1007C" w:rsidRDefault="00F1007C" w:rsidP="00F100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Постановление администрации города Боготола 03.05.2012 № 0571-п «Об утверждении административного регламента по предоставлению муниципальной услуги «Прием заявлений, постановка на учет и зачисление детей в муниципальные образовательные учреждения города Боготола, реализующие основную общеобразовательную программу дошкольного образования (детские сады)»</w:t>
      </w:r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/>
          <w:lang w:eastAsia="ru-RU"/>
        </w:rPr>
      </w:pPr>
      <w:r w:rsidRPr="00F1007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Постановление администрации города Боготола от 18.12.2014 № 2086-п «Об утверждении порядка расходования субвенций, предоставленных бюджету города Боготола,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города Боготола»</w:t>
      </w:r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Постановление администрации города Боготола от 30.12.2014 № 2156-п «Об утверждении Порядка взимания родительской платы за присмотр и уход за детьми в образовательных учреждениях города Боготола, реализующих основную общеобразовательную программу дошкольного образования»</w:t>
      </w:r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hyperlink r:id="rId15" w:history="1">
        <w:r w:rsidRPr="00F1007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Постановление администрации г. Боготола от 09.07.2015 № 0931-п «Об утверждении Положения о порядке комплектования муниципальных дошкольных образовательных учреждений города Боготола»     </w:t>
        </w:r>
      </w:hyperlink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F1007C" w:rsidRPr="00F1007C" w:rsidRDefault="00F1007C" w:rsidP="00F10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1007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Постановление администрации города Боготола от 17.10.2016 № 1070-п «О размере родительской платы за присмотр и уход за детьми в муниципальных образовательных учреждениях города Боготола, реализующих основную общеобразовательную программу дошкольного образования» </w:t>
      </w:r>
    </w:p>
    <w:p w:rsidR="00F1007C" w:rsidRPr="00F1007C" w:rsidRDefault="00F1007C" w:rsidP="00F100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администрации города Боготола от 29.11.2017 № 1576-п «Об утверждении порядка расходования субвенций, предоставленных бюджету города Боготола, на исполнение государственных полномочий по осуществлению присмотра и ухода за детьми-инвалидами, детьми-сиротами и детьми, оставшимися без попечения родителей, а также детьми с туберкулезной интоксикацией, обучающимися по основным общеобразовательным  программам дошкольного образования в муниципальных дошкольных образовательных организациях, расположенных на территории города Боготола, без взимания родительской</w:t>
      </w:r>
      <w:proofErr w:type="gramEnd"/>
      <w:r w:rsidRPr="00F10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платы»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007C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Порядок информирования потенциальных потребителей муниципальной услуги:</w:t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74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"/>
        <w:gridCol w:w="4516"/>
        <w:gridCol w:w="5869"/>
        <w:gridCol w:w="4295"/>
      </w:tblGrid>
      <w:tr w:rsidR="00F1007C" w:rsidRPr="00F1007C" w:rsidTr="00F1007C">
        <w:trPr>
          <w:trHeight w:val="85"/>
        </w:trPr>
        <w:tc>
          <w:tcPr>
            <w:tcW w:w="4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F1007C" w:rsidRPr="00F1007C" w:rsidTr="00F1007C">
        <w:trPr>
          <w:trHeight w:val="270"/>
        </w:trPr>
        <w:tc>
          <w:tcPr>
            <w:tcW w:w="4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007C" w:rsidRPr="00F1007C" w:rsidRDefault="00F1007C" w:rsidP="00F100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007C" w:rsidRPr="00F1007C" w:rsidTr="00F1007C">
        <w:trPr>
          <w:trHeight w:val="270"/>
        </w:trPr>
        <w:tc>
          <w:tcPr>
            <w:tcW w:w="4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массовой информации               </w:t>
            </w:r>
          </w:p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образовательного учреждения, местонахождение, режим работы, содержание услуги, объем услуги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F1007C" w:rsidRPr="00F1007C" w:rsidTr="00F1007C">
        <w:trPr>
          <w:trHeight w:val="270"/>
        </w:trPr>
        <w:tc>
          <w:tcPr>
            <w:tcW w:w="4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Электронное информирование на сайте учреждения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образовательного учреждения, местонахождение, режим работы, содержание услуги, объем услуги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F1007C" w:rsidRPr="00F1007C" w:rsidTr="00F1007C">
        <w:trPr>
          <w:trHeight w:val="270"/>
        </w:trPr>
        <w:tc>
          <w:tcPr>
            <w:tcW w:w="4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Arial"/>
                <w:sz w:val="24"/>
                <w:szCs w:val="24"/>
              </w:rPr>
              <w:t>Информация о деятельности образовательного учреждения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Не реже 1 раза в неделю</w:t>
            </w:r>
          </w:p>
        </w:tc>
      </w:tr>
      <w:tr w:rsidR="00F1007C" w:rsidRPr="00F1007C" w:rsidTr="00F1007C">
        <w:trPr>
          <w:trHeight w:val="270"/>
        </w:trPr>
        <w:tc>
          <w:tcPr>
            <w:tcW w:w="4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в образовательном учреждении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образовательного учреждения, местонахождение, режим работы, содержание услуги, объем услуги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07C" w:rsidRPr="00F1007C" w:rsidRDefault="00F1007C" w:rsidP="00F1007C">
            <w:pPr>
              <w:autoSpaceDE w:val="0"/>
              <w:autoSpaceDN w:val="0"/>
              <w:adjustRightInd w:val="0"/>
              <w:spacing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07C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F1007C" w:rsidRPr="00F1007C" w:rsidTr="00F1007C">
        <w:trPr>
          <w:gridBefore w:val="1"/>
          <w:wBefore w:w="65" w:type="dxa"/>
          <w:trHeight w:val="70"/>
        </w:trPr>
        <w:tc>
          <w:tcPr>
            <w:tcW w:w="1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tbl>
            <w:tblPr>
              <w:tblW w:w="16485" w:type="dxa"/>
              <w:tblLayout w:type="fixed"/>
              <w:tblLook w:val="04A0" w:firstRow="1" w:lastRow="0" w:firstColumn="1" w:lastColumn="0" w:noHBand="0" w:noVBand="1"/>
            </w:tblPr>
            <w:tblGrid>
              <w:gridCol w:w="5381"/>
              <w:gridCol w:w="8377"/>
              <w:gridCol w:w="1464"/>
              <w:gridCol w:w="958"/>
              <w:gridCol w:w="305"/>
            </w:tblGrid>
            <w:tr w:rsidR="00F1007C" w:rsidRPr="00F1007C" w:rsidTr="00F1007C">
              <w:trPr>
                <w:trHeight w:val="687"/>
              </w:trPr>
              <w:tc>
                <w:tcPr>
                  <w:tcW w:w="15227" w:type="dxa"/>
                  <w:gridSpan w:val="3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noWrap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  <w:vertAlign w:val="superscript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 xml:space="preserve">Часть 3. Прочие сведения о </w:t>
                  </w:r>
                  <w:proofErr w:type="gramStart"/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>муниципальном</w:t>
                  </w:r>
                  <w:proofErr w:type="gramEnd"/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 xml:space="preserve"> задании</w:t>
                  </w:r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  <w:vertAlign w:val="superscript"/>
                    </w:rPr>
                    <w:t>5</w:t>
                  </w:r>
                </w:p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 xml:space="preserve">3.1. Основания для досрочного прекращения выполнения муниципального  задания:    </w:t>
                  </w:r>
                </w:p>
              </w:tc>
              <w:tc>
                <w:tcPr>
                  <w:tcW w:w="1263" w:type="dxa"/>
                  <w:gridSpan w:val="2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noWrap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bottom"/>
                </w:tcPr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</w:rPr>
                  </w:pPr>
                </w:p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</w:rPr>
                  </w:pPr>
                </w:p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F1007C" w:rsidRPr="00F1007C" w:rsidTr="00F1007C">
              <w:trPr>
                <w:trHeight w:val="133"/>
              </w:trPr>
              <w:tc>
                <w:tcPr>
                  <w:tcW w:w="16185" w:type="dxa"/>
                  <w:gridSpan w:val="4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noWrap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F1007C" w:rsidRPr="00F1007C" w:rsidRDefault="00F1007C" w:rsidP="00F1007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Существенное нарушение выполнения муниципального задания:</w:t>
                  </w:r>
                </w:p>
                <w:p w:rsidR="00F1007C" w:rsidRPr="00F1007C" w:rsidRDefault="00F1007C" w:rsidP="00F1007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- Снижение показателей качества оказания муниципальной услуги более чем на 15 %;</w:t>
                  </w:r>
                </w:p>
                <w:p w:rsidR="00F1007C" w:rsidRPr="00F1007C" w:rsidRDefault="00F1007C" w:rsidP="00F1007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- Уменьшение количества потребителей муниципальной услуги более чем на 20 %;</w:t>
                  </w:r>
                </w:p>
                <w:p w:rsidR="00F1007C" w:rsidRPr="00F1007C" w:rsidRDefault="00F1007C" w:rsidP="00F1007C">
                  <w:pPr>
                    <w:tabs>
                      <w:tab w:val="left" w:pos="284"/>
                    </w:tabs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- Перераспределение полномочий, повлекшее исключение из компетенции учреждения полномочий по  оказанию  </w:t>
                  </w:r>
                </w:p>
                <w:p w:rsidR="00F1007C" w:rsidRPr="00F1007C" w:rsidRDefault="00F1007C" w:rsidP="00F1007C">
                  <w:pPr>
                    <w:tabs>
                      <w:tab w:val="left" w:pos="284"/>
                    </w:tabs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  муниципальной услуги;</w:t>
                  </w:r>
                </w:p>
                <w:p w:rsidR="00F1007C" w:rsidRPr="00F1007C" w:rsidRDefault="00F1007C" w:rsidP="00F1007C">
                  <w:pPr>
                    <w:tabs>
                      <w:tab w:val="left" w:pos="284"/>
                    </w:tabs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- Исключение муниципальной услуги из ведомственного перечня;</w:t>
                  </w:r>
                </w:p>
                <w:p w:rsidR="00F1007C" w:rsidRPr="00F1007C" w:rsidRDefault="00F1007C" w:rsidP="00F1007C">
                  <w:pPr>
                    <w:tabs>
                      <w:tab w:val="left" w:pos="284"/>
                    </w:tabs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- Иные основания, предусмотренные нормативными правовыми актами города Боготола;</w:t>
                  </w:r>
                </w:p>
                <w:p w:rsidR="00F1007C" w:rsidRPr="00F1007C" w:rsidRDefault="00F1007C" w:rsidP="00F1007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- Аннулирование лицензии на </w:t>
                  </w:r>
                  <w:proofErr w:type="gramStart"/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право ведения</w:t>
                  </w:r>
                  <w:proofErr w:type="gramEnd"/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образовательной деятельности;</w:t>
                  </w:r>
                </w:p>
                <w:p w:rsidR="00F1007C" w:rsidRPr="00F1007C" w:rsidRDefault="00F1007C" w:rsidP="00F1007C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- Реорганизация и (или) ликвидация учреждения.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</w:rPr>
                  </w:pPr>
                </w:p>
              </w:tc>
            </w:tr>
            <w:tr w:rsidR="00F1007C" w:rsidRPr="00F1007C" w:rsidTr="00F1007C">
              <w:trPr>
                <w:gridAfter w:val="3"/>
                <w:wAfter w:w="2727" w:type="dxa"/>
                <w:trHeight w:val="133"/>
              </w:trPr>
              <w:tc>
                <w:tcPr>
                  <w:tcW w:w="5383" w:type="dxa"/>
                  <w:noWrap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>3.2. Иная информация, необходимая</w:t>
                  </w:r>
                </w:p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>для выполнения (контроля за</w:t>
                  </w:r>
                  <w:proofErr w:type="gramEnd"/>
                </w:p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 xml:space="preserve"> выполнением) муниципального задания: </w:t>
                  </w:r>
                </w:p>
              </w:tc>
              <w:tc>
                <w:tcPr>
                  <w:tcW w:w="8380" w:type="dxa"/>
                  <w:hideMark/>
                </w:tcPr>
                <w:p w:rsidR="00F1007C" w:rsidRPr="00F1007C" w:rsidRDefault="00F1007C" w:rsidP="00F1007C">
                  <w:pPr>
                    <w:spacing w:after="0"/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</w:pPr>
                  <w:r w:rsidRPr="00F1007C">
                    <w:rPr>
                      <w:rFonts w:ascii="Times New Roman" w:eastAsia="Times New Roman" w:hAnsi="Times New Roman" w:cs="Times New Roman"/>
                      <w:spacing w:val="-6"/>
                      <w:sz w:val="26"/>
                      <w:szCs w:val="26"/>
                    </w:rPr>
                    <w:t>Не установлено</w:t>
                  </w:r>
                </w:p>
              </w:tc>
            </w:tr>
          </w:tbl>
          <w:p w:rsidR="00F1007C" w:rsidRPr="00F1007C" w:rsidRDefault="00F1007C" w:rsidP="00F10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007C" w:rsidRPr="00F1007C" w:rsidRDefault="00D557C4" w:rsidP="00F1007C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 wp14:anchorId="5521976D" wp14:editId="04BB25F0">
            <wp:extent cx="9251950" cy="6730938"/>
            <wp:effectExtent l="0" t="0" r="6350" b="0"/>
            <wp:docPr id="2" name="Рисунок 2" descr="C:\Users\Катя\Desktop\муници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муницип\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7C" w:rsidRPr="00F1007C" w:rsidRDefault="00F1007C" w:rsidP="00F1007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557C4" w:rsidRPr="00D557C4" w:rsidRDefault="00D557C4" w:rsidP="00D557C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Катя\Desktop\муници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муницип\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7C4" w:rsidRPr="00D557C4" w:rsidRDefault="00D557C4" w:rsidP="00D557C4"/>
    <w:p w:rsidR="00D557C4" w:rsidRPr="00D557C4" w:rsidRDefault="00D557C4" w:rsidP="00D557C4"/>
    <w:p w:rsidR="00D557C4" w:rsidRPr="00D557C4" w:rsidRDefault="00D557C4" w:rsidP="00D557C4"/>
    <w:p w:rsidR="00D557C4" w:rsidRPr="00D557C4" w:rsidRDefault="00D557C4" w:rsidP="00D557C4"/>
    <w:p w:rsidR="00D557C4" w:rsidRPr="00D557C4" w:rsidRDefault="00D557C4" w:rsidP="00D557C4"/>
    <w:p w:rsidR="00D557C4" w:rsidRPr="00D557C4" w:rsidRDefault="00D557C4" w:rsidP="00D557C4"/>
    <w:p w:rsidR="00D557C4" w:rsidRPr="00D557C4" w:rsidRDefault="00D557C4" w:rsidP="00D557C4"/>
    <w:p w:rsidR="00D557C4" w:rsidRPr="00D557C4" w:rsidRDefault="00D557C4" w:rsidP="00D557C4"/>
    <w:p w:rsidR="00D557C4" w:rsidRPr="00D557C4" w:rsidRDefault="00D557C4" w:rsidP="00D557C4"/>
    <w:p w:rsidR="00D557C4" w:rsidRDefault="00D557C4" w:rsidP="00D557C4"/>
    <w:p w:rsidR="00F1007C" w:rsidRDefault="00F1007C" w:rsidP="00D557C4"/>
    <w:p w:rsidR="00D557C4" w:rsidRDefault="00D557C4" w:rsidP="00D557C4"/>
    <w:p w:rsidR="00D557C4" w:rsidRDefault="00D557C4" w:rsidP="00D557C4"/>
    <w:p w:rsidR="00D557C4" w:rsidRDefault="00D557C4" w:rsidP="00D557C4"/>
    <w:p w:rsidR="00D557C4" w:rsidRDefault="00D557C4" w:rsidP="00D557C4"/>
    <w:p w:rsidR="00D557C4" w:rsidRDefault="00D557C4" w:rsidP="00D557C4"/>
    <w:p w:rsidR="00D557C4" w:rsidRDefault="00D557C4" w:rsidP="00D557C4"/>
    <w:p w:rsidR="00D557C4" w:rsidRPr="00D557C4" w:rsidRDefault="00D557C4" w:rsidP="00D557C4"/>
    <w:sectPr w:rsidR="00D557C4" w:rsidRPr="00D557C4" w:rsidSect="00F1007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86D" w:rsidRDefault="0003386D" w:rsidP="00D557C4">
      <w:pPr>
        <w:spacing w:after="0" w:line="240" w:lineRule="auto"/>
      </w:pPr>
      <w:r>
        <w:separator/>
      </w:r>
    </w:p>
  </w:endnote>
  <w:endnote w:type="continuationSeparator" w:id="0">
    <w:p w:rsidR="0003386D" w:rsidRDefault="0003386D" w:rsidP="00D55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86D" w:rsidRDefault="0003386D" w:rsidP="00D557C4">
      <w:pPr>
        <w:spacing w:after="0" w:line="240" w:lineRule="auto"/>
      </w:pPr>
      <w:r>
        <w:separator/>
      </w:r>
    </w:p>
  </w:footnote>
  <w:footnote w:type="continuationSeparator" w:id="0">
    <w:p w:rsidR="0003386D" w:rsidRDefault="0003386D" w:rsidP="00D55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D4501"/>
    <w:multiLevelType w:val="hybridMultilevel"/>
    <w:tmpl w:val="8752C07E"/>
    <w:lvl w:ilvl="0" w:tplc="3012AB1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59"/>
    <w:rsid w:val="0003386D"/>
    <w:rsid w:val="00165460"/>
    <w:rsid w:val="009F1FD8"/>
    <w:rsid w:val="00A83E59"/>
    <w:rsid w:val="00D557C4"/>
    <w:rsid w:val="00F1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07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1007C"/>
  </w:style>
  <w:style w:type="paragraph" w:styleId="a5">
    <w:name w:val="endnote text"/>
    <w:basedOn w:val="a"/>
    <w:link w:val="a6"/>
    <w:uiPriority w:val="99"/>
    <w:unhideWhenUsed/>
    <w:rsid w:val="00F1007C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6">
    <w:name w:val="Текст концевой сноски Знак"/>
    <w:basedOn w:val="a0"/>
    <w:link w:val="a5"/>
    <w:uiPriority w:val="99"/>
    <w:rsid w:val="00F1007C"/>
    <w:rPr>
      <w:rFonts w:ascii="Calibri" w:eastAsia="Calibri" w:hAnsi="Calibri" w:cs="Times New Roman"/>
      <w:sz w:val="20"/>
      <w:szCs w:val="20"/>
      <w:lang w:val="x-none"/>
    </w:rPr>
  </w:style>
  <w:style w:type="paragraph" w:styleId="a7">
    <w:name w:val="header"/>
    <w:basedOn w:val="a"/>
    <w:link w:val="a8"/>
    <w:uiPriority w:val="99"/>
    <w:unhideWhenUsed/>
    <w:rsid w:val="00F100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F1007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footer"/>
    <w:basedOn w:val="a"/>
    <w:link w:val="aa"/>
    <w:uiPriority w:val="99"/>
    <w:unhideWhenUsed/>
    <w:rsid w:val="00F100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F1007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PlusNonformat">
    <w:name w:val="ConsPlusNonformat"/>
    <w:rsid w:val="00F100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F100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F100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F1007C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F1007C"/>
    <w:pPr>
      <w:ind w:left="720"/>
      <w:contextualSpacing/>
    </w:pPr>
    <w:rPr>
      <w:rFonts w:eastAsiaTheme="minorEastAsia"/>
      <w:lang w:eastAsia="ru-RU"/>
    </w:rPr>
  </w:style>
  <w:style w:type="paragraph" w:customStyle="1" w:styleId="ConsPlusTitle">
    <w:name w:val="ConsPlusTitle"/>
    <w:uiPriority w:val="99"/>
    <w:rsid w:val="00F100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07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1007C"/>
  </w:style>
  <w:style w:type="paragraph" w:styleId="a5">
    <w:name w:val="endnote text"/>
    <w:basedOn w:val="a"/>
    <w:link w:val="a6"/>
    <w:uiPriority w:val="99"/>
    <w:unhideWhenUsed/>
    <w:rsid w:val="00F1007C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6">
    <w:name w:val="Текст концевой сноски Знак"/>
    <w:basedOn w:val="a0"/>
    <w:link w:val="a5"/>
    <w:uiPriority w:val="99"/>
    <w:rsid w:val="00F1007C"/>
    <w:rPr>
      <w:rFonts w:ascii="Calibri" w:eastAsia="Calibri" w:hAnsi="Calibri" w:cs="Times New Roman"/>
      <w:sz w:val="20"/>
      <w:szCs w:val="20"/>
      <w:lang w:val="x-none"/>
    </w:rPr>
  </w:style>
  <w:style w:type="paragraph" w:styleId="a7">
    <w:name w:val="header"/>
    <w:basedOn w:val="a"/>
    <w:link w:val="a8"/>
    <w:uiPriority w:val="99"/>
    <w:unhideWhenUsed/>
    <w:rsid w:val="00F100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F1007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footer"/>
    <w:basedOn w:val="a"/>
    <w:link w:val="aa"/>
    <w:uiPriority w:val="99"/>
    <w:unhideWhenUsed/>
    <w:rsid w:val="00F100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F1007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PlusNonformat">
    <w:name w:val="ConsPlusNonformat"/>
    <w:rsid w:val="00F100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F100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F100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F1007C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F1007C"/>
    <w:pPr>
      <w:ind w:left="720"/>
      <w:contextualSpacing/>
    </w:pPr>
    <w:rPr>
      <w:rFonts w:eastAsiaTheme="minorEastAsia"/>
      <w:lang w:eastAsia="ru-RU"/>
    </w:rPr>
  </w:style>
  <w:style w:type="paragraph" w:customStyle="1" w:styleId="ConsPlusTitle">
    <w:name w:val="ConsPlusTitle"/>
    <w:uiPriority w:val="99"/>
    <w:rsid w:val="00F100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uo-bogotol.ucoz.ru/dokument/feder/293.doc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uo-bogotol.ucoz.ru/dokument/feder/postanovlenie_pravitelstva_obutverzhdenii_pravil_o.pdf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uo-bogotol.ucoz.ru/dokument/feder/zakon_ob_obrazovanii_273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o-bogotol.ucoz.ru/detsadi/0931-p.pdf" TargetMode="External"/><Relationship Id="rId10" Type="http://schemas.openxmlformats.org/officeDocument/2006/relationships/hyperlink" Target="http://uo-bogotol.ucoz.ru/dokument/feder/210fz.doc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uo-bogotol.ucoz.ru/dokument/feder/131_fz_ob_obshhikh_principakh_mestnogo_samoupravle.pdf" TargetMode="External"/><Relationship Id="rId14" Type="http://schemas.openxmlformats.org/officeDocument/2006/relationships/hyperlink" Target="http://uo-bogotol.ucoz.ru/dokument/feder/kr/268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4208</Words>
  <Characters>23992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2018-02-15T01:56:00Z</dcterms:created>
  <dcterms:modified xsi:type="dcterms:W3CDTF">2018-02-15T09:57:00Z</dcterms:modified>
</cp:coreProperties>
</file>